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0E1AF"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139EDFB4" w14:textId="73DA27D3" w:rsidR="00195B4B" w:rsidRPr="00E84388" w:rsidRDefault="008C469B" w:rsidP="00195B4B">
      <w:r>
        <w:rPr>
          <w:b/>
        </w:rPr>
        <w:t>TO:</w:t>
      </w:r>
      <w:r>
        <w:rPr>
          <w:b/>
        </w:rPr>
        <w:tab/>
      </w:r>
      <w:r>
        <w:rPr>
          <w:b/>
        </w:rPr>
        <w:tab/>
      </w:r>
      <w:r w:rsidR="00B527AC" w:rsidRPr="00E84388">
        <w:t>Robert Parish</w:t>
      </w:r>
      <w:r w:rsidR="00195B4B" w:rsidRPr="00E84388">
        <w:t>, Attorney</w:t>
      </w:r>
    </w:p>
    <w:p w14:paraId="50F8A9CC" w14:textId="77777777" w:rsidR="00195B4B" w:rsidRPr="00E84388" w:rsidRDefault="00195B4B" w:rsidP="00195B4B">
      <w:pPr>
        <w:ind w:left="1440"/>
      </w:pPr>
      <w:r w:rsidRPr="00E84388">
        <w:t>Legal Division</w:t>
      </w:r>
    </w:p>
    <w:p w14:paraId="6E96D3CB" w14:textId="77777777" w:rsidR="008C469B" w:rsidRPr="00E84388" w:rsidRDefault="008C469B" w:rsidP="008C469B">
      <w:pPr>
        <w:tabs>
          <w:tab w:val="left" w:pos="1170"/>
        </w:tabs>
      </w:pPr>
      <w:r w:rsidRPr="00E84388">
        <w:tab/>
      </w:r>
      <w:r w:rsidRPr="00E84388">
        <w:tab/>
      </w:r>
    </w:p>
    <w:p w14:paraId="2B480709" w14:textId="35BF8C7B" w:rsidR="00195B4B" w:rsidRPr="00E84388" w:rsidRDefault="008C469B" w:rsidP="00195B4B">
      <w:r w:rsidRPr="00E84388">
        <w:rPr>
          <w:b/>
        </w:rPr>
        <w:t>FROM:</w:t>
      </w:r>
      <w:r w:rsidRPr="00E84388">
        <w:rPr>
          <w:b/>
        </w:rPr>
        <w:tab/>
      </w:r>
      <w:r w:rsidR="00B527AC" w:rsidRPr="00E84388">
        <w:t>Pai Liu, Infrastructure Analyst</w:t>
      </w:r>
    </w:p>
    <w:p w14:paraId="0542BA84" w14:textId="77777777" w:rsidR="008C469B" w:rsidRPr="00E84388" w:rsidRDefault="00195B4B" w:rsidP="00195B4B">
      <w:pPr>
        <w:ind w:left="1440"/>
      </w:pPr>
      <w:r w:rsidRPr="00E84388">
        <w:t>Infrastructure Division</w:t>
      </w:r>
    </w:p>
    <w:p w14:paraId="6BFA100D" w14:textId="64410B4B" w:rsidR="008C469B" w:rsidRPr="00E84388" w:rsidRDefault="008C469B" w:rsidP="008C469B">
      <w:pPr>
        <w:tabs>
          <w:tab w:val="left" w:pos="1170"/>
        </w:tabs>
        <w:spacing w:before="240"/>
      </w:pPr>
      <w:r w:rsidRPr="00E84388">
        <w:rPr>
          <w:b/>
        </w:rPr>
        <w:t>DATE:</w:t>
      </w:r>
      <w:r w:rsidRPr="00E84388">
        <w:rPr>
          <w:b/>
        </w:rPr>
        <w:tab/>
      </w:r>
      <w:r w:rsidRPr="00E84388">
        <w:rPr>
          <w:b/>
        </w:rPr>
        <w:tab/>
      </w:r>
      <w:r w:rsidR="00B527AC" w:rsidRPr="00E84388">
        <w:rPr>
          <w:bCs/>
        </w:rPr>
        <w:t>June 29, 2021</w:t>
      </w:r>
    </w:p>
    <w:p w14:paraId="7346A21B" w14:textId="77777777" w:rsidR="0028111B" w:rsidRPr="00E84388" w:rsidRDefault="0028111B" w:rsidP="008C469B">
      <w:pPr>
        <w:tabs>
          <w:tab w:val="left" w:pos="1170"/>
        </w:tabs>
        <w:spacing w:before="240"/>
      </w:pPr>
    </w:p>
    <w:p w14:paraId="12CBE7B6" w14:textId="383330E5" w:rsidR="00B527AC" w:rsidRDefault="008C469B" w:rsidP="00B527AC">
      <w:pPr>
        <w:ind w:left="1440" w:right="-450" w:hanging="1440"/>
        <w:rPr>
          <w:bCs/>
          <w:i/>
          <w:color w:val="000000" w:themeColor="text1"/>
        </w:rPr>
      </w:pPr>
      <w:r w:rsidRPr="00E84388">
        <w:rPr>
          <w:b/>
        </w:rPr>
        <w:t>RE:</w:t>
      </w:r>
      <w:r w:rsidRPr="00E84388">
        <w:rPr>
          <w:b/>
        </w:rPr>
        <w:tab/>
      </w:r>
      <w:r w:rsidR="00195B4B" w:rsidRPr="00E84388">
        <w:rPr>
          <w:bCs/>
        </w:rPr>
        <w:t xml:space="preserve">Docket No. </w:t>
      </w:r>
      <w:r w:rsidR="00B527AC" w:rsidRPr="00E84388">
        <w:rPr>
          <w:bCs/>
        </w:rPr>
        <w:t>52</w:t>
      </w:r>
      <w:r w:rsidR="005F3746" w:rsidRPr="00E84388">
        <w:rPr>
          <w:bCs/>
        </w:rPr>
        <w:t>073</w:t>
      </w:r>
      <w:r w:rsidR="00195B4B" w:rsidRPr="00E84388">
        <w:t xml:space="preserve"> – </w:t>
      </w:r>
      <w:r w:rsidR="00195B4B" w:rsidRPr="00E84388">
        <w:rPr>
          <w:i/>
        </w:rPr>
        <w:t xml:space="preserve">Application of </w:t>
      </w:r>
      <w:r w:rsidR="00B527AC" w:rsidRPr="00E84388">
        <w:rPr>
          <w:i/>
        </w:rPr>
        <w:t>Southwestern Electric Power Company</w:t>
      </w:r>
      <w:r w:rsidR="00195B4B" w:rsidRPr="00E84388">
        <w:rPr>
          <w:i/>
          <w:iCs/>
        </w:rPr>
        <w:t xml:space="preserve"> </w:t>
      </w:r>
      <w:r w:rsidR="00195B4B" w:rsidRPr="00E84388">
        <w:rPr>
          <w:bCs/>
          <w:i/>
        </w:rPr>
        <w:t xml:space="preserve">to </w:t>
      </w:r>
      <w:r w:rsidR="00B527AC" w:rsidRPr="00E84388">
        <w:rPr>
          <w:bCs/>
          <w:i/>
        </w:rPr>
        <w:t xml:space="preserve">Adjust its Energy Efficiency Cost Recovery </w:t>
      </w:r>
      <w:r w:rsidR="00B527AC" w:rsidRPr="00B527AC">
        <w:rPr>
          <w:bCs/>
          <w:i/>
          <w:color w:val="000000" w:themeColor="text1"/>
        </w:rPr>
        <w:t xml:space="preserve">Factor and Related Relief </w:t>
      </w:r>
    </w:p>
    <w:p w14:paraId="79A945CA" w14:textId="28E5CBE5" w:rsidR="008C469B" w:rsidRDefault="0028111B" w:rsidP="00B527AC">
      <w:pPr>
        <w:ind w:left="1440" w:right="-450" w:hanging="1440"/>
      </w:pPr>
      <w:r>
        <w:rPr>
          <w:noProof/>
        </w:rPr>
        <mc:AlternateContent>
          <mc:Choice Requires="wps">
            <w:drawing>
              <wp:anchor distT="4294967289" distB="4294967289" distL="114300" distR="114300" simplePos="0" relativeHeight="251658240" behindDoc="0" locked="0" layoutInCell="1" allowOverlap="1" wp14:anchorId="46D9B359" wp14:editId="28C239B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DE937E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A41B500" w14:textId="49F8E12A" w:rsidR="00195B4B" w:rsidRDefault="00D2675D" w:rsidP="00D95866">
      <w:pPr>
        <w:autoSpaceDE w:val="0"/>
        <w:autoSpaceDN w:val="0"/>
        <w:adjustRightInd w:val="0"/>
        <w:rPr>
          <w:bCs/>
          <w:color w:val="000000" w:themeColor="text1"/>
          <w:szCs w:val="24"/>
        </w:rPr>
      </w:pPr>
      <w:r w:rsidRPr="00D2675D">
        <w:rPr>
          <w:bCs/>
          <w:color w:val="000000" w:themeColor="text1"/>
          <w:szCs w:val="24"/>
        </w:rPr>
        <w:t>On April 30,</w:t>
      </w:r>
      <w:r w:rsidR="00E84388">
        <w:rPr>
          <w:bCs/>
          <w:color w:val="000000" w:themeColor="text1"/>
          <w:szCs w:val="24"/>
        </w:rPr>
        <w:t xml:space="preserve"> </w:t>
      </w:r>
      <w:r w:rsidRPr="00D2675D">
        <w:rPr>
          <w:bCs/>
          <w:color w:val="000000" w:themeColor="text1"/>
          <w:szCs w:val="24"/>
        </w:rPr>
        <w:t>2021, Southwestern Electric Power Company (SWEPCO) filed an application with the Public Utility Commission of Texas (Commission) to adjust its Energy Efficiency Cost Recovery Factor (EECRF) and Related Relief (Application) for program year 202</w:t>
      </w:r>
      <w:r w:rsidR="005F3746">
        <w:rPr>
          <w:bCs/>
          <w:color w:val="000000" w:themeColor="text1"/>
          <w:szCs w:val="24"/>
        </w:rPr>
        <w:t>2</w:t>
      </w:r>
      <w:r w:rsidR="00EC2AB5">
        <w:rPr>
          <w:bCs/>
          <w:color w:val="000000" w:themeColor="text1"/>
          <w:szCs w:val="24"/>
        </w:rPr>
        <w:t xml:space="preserve"> </w:t>
      </w:r>
      <w:r w:rsidR="005F3746">
        <w:rPr>
          <w:bCs/>
          <w:color w:val="000000" w:themeColor="text1"/>
          <w:szCs w:val="24"/>
        </w:rPr>
        <w:t xml:space="preserve">under </w:t>
      </w:r>
      <w:r w:rsidR="00EC2AB5" w:rsidRPr="00EC2AB5">
        <w:rPr>
          <w:bCs/>
          <w:color w:val="000000" w:themeColor="text1"/>
          <w:szCs w:val="24"/>
        </w:rPr>
        <w:t xml:space="preserve"> </w:t>
      </w:r>
      <w:r w:rsidR="005F3746" w:rsidRPr="00084FDF">
        <w:rPr>
          <w:bCs/>
          <w:color w:val="000000" w:themeColor="text1"/>
          <w:szCs w:val="24"/>
        </w:rPr>
        <w:t>Public Utility Regulatory Act (</w:t>
      </w:r>
      <w:r w:rsidR="00EC2AB5" w:rsidRPr="00EC2AB5">
        <w:rPr>
          <w:bCs/>
          <w:color w:val="000000" w:themeColor="text1"/>
          <w:szCs w:val="24"/>
        </w:rPr>
        <w:t>PURA</w:t>
      </w:r>
      <w:r w:rsidR="005F3746">
        <w:rPr>
          <w:bCs/>
          <w:color w:val="000000" w:themeColor="text1"/>
          <w:szCs w:val="24"/>
        </w:rPr>
        <w:t>)</w:t>
      </w:r>
      <w:r w:rsidR="00EC2AB5" w:rsidRPr="00EC2AB5">
        <w:rPr>
          <w:bCs/>
          <w:color w:val="000000" w:themeColor="text1"/>
          <w:szCs w:val="24"/>
        </w:rPr>
        <w:t xml:space="preserve"> § 39.905 and 16 Texas Administrative Code (TAC) §§ 25.181 and</w:t>
      </w:r>
      <w:r w:rsidR="00EC2AB5">
        <w:rPr>
          <w:bCs/>
          <w:color w:val="000000" w:themeColor="text1"/>
          <w:szCs w:val="24"/>
        </w:rPr>
        <w:t xml:space="preserve"> </w:t>
      </w:r>
      <w:r w:rsidR="00EC2AB5" w:rsidRPr="00EC2AB5">
        <w:rPr>
          <w:bCs/>
          <w:color w:val="000000" w:themeColor="text1"/>
          <w:szCs w:val="24"/>
        </w:rPr>
        <w:t>25.182.</w:t>
      </w:r>
    </w:p>
    <w:p w14:paraId="7C796841" w14:textId="77777777" w:rsidR="00EC2AB5" w:rsidRDefault="00EC2AB5">
      <w:pPr>
        <w:autoSpaceDE w:val="0"/>
        <w:autoSpaceDN w:val="0"/>
        <w:adjustRightInd w:val="0"/>
        <w:rPr>
          <w:bCs/>
          <w:color w:val="000000" w:themeColor="text1"/>
          <w:szCs w:val="24"/>
        </w:rPr>
      </w:pPr>
    </w:p>
    <w:p w14:paraId="16DA68A0" w14:textId="6902A0B5" w:rsidR="00EC2AB5" w:rsidRDefault="00EC2AB5" w:rsidP="00E84388">
      <w:pPr>
        <w:autoSpaceDE w:val="0"/>
        <w:autoSpaceDN w:val="0"/>
        <w:adjustRightInd w:val="0"/>
      </w:pPr>
      <w:r>
        <w:t xml:space="preserve">In its Application, SWEPCO requested a </w:t>
      </w:r>
      <w:r w:rsidR="00C73519">
        <w:t xml:space="preserve">2022 </w:t>
      </w:r>
      <w:r>
        <w:t xml:space="preserve">EECRF of </w:t>
      </w:r>
      <w:r w:rsidRPr="00EC2AB5">
        <w:t>$6,440,360</w:t>
      </w:r>
      <w:r>
        <w:t xml:space="preserve"> comprised of the following components: </w:t>
      </w:r>
    </w:p>
    <w:p w14:paraId="7BC34C1D" w14:textId="24DC28BB" w:rsidR="00EC2AB5" w:rsidRDefault="00EC2AB5" w:rsidP="00E84388">
      <w:pPr>
        <w:pStyle w:val="ListParagraph"/>
        <w:numPr>
          <w:ilvl w:val="0"/>
          <w:numId w:val="1"/>
        </w:numPr>
        <w:autoSpaceDE w:val="0"/>
        <w:autoSpaceDN w:val="0"/>
        <w:adjustRightInd w:val="0"/>
      </w:pPr>
      <w:r>
        <w:t>recovery of $4,367,484 in projected energy efficiency program costs for SWEPCO’s 2022 program</w:t>
      </w:r>
      <w:r w:rsidR="005F3746">
        <w:t xml:space="preserve"> </w:t>
      </w:r>
      <w:proofErr w:type="gramStart"/>
      <w:r w:rsidR="005F3746">
        <w:t>year</w:t>
      </w:r>
      <w:r>
        <w:t>;</w:t>
      </w:r>
      <w:proofErr w:type="gramEnd"/>
    </w:p>
    <w:p w14:paraId="0E4BDD5D" w14:textId="2D1353C5" w:rsidR="00EC2AB5" w:rsidRDefault="00EC2AB5" w:rsidP="00E84388">
      <w:pPr>
        <w:pStyle w:val="ListParagraph"/>
        <w:numPr>
          <w:ilvl w:val="0"/>
          <w:numId w:val="1"/>
        </w:numPr>
        <w:autoSpaceDE w:val="0"/>
        <w:autoSpaceDN w:val="0"/>
        <w:adjustRightInd w:val="0"/>
      </w:pPr>
      <w:r>
        <w:t xml:space="preserve">an adjustment for the over-recovery of $69,476 in </w:t>
      </w:r>
      <w:r w:rsidR="00912273">
        <w:t>202</w:t>
      </w:r>
      <w:r w:rsidR="005F3746">
        <w:t>0</w:t>
      </w:r>
      <w:r>
        <w:t xml:space="preserve"> for program costs including</w:t>
      </w:r>
    </w:p>
    <w:p w14:paraId="0F77F0C3" w14:textId="77777777" w:rsidR="00EC2AB5" w:rsidRDefault="00EC2AB5" w:rsidP="00E84388">
      <w:pPr>
        <w:autoSpaceDE w:val="0"/>
        <w:autoSpaceDN w:val="0"/>
        <w:adjustRightInd w:val="0"/>
        <w:ind w:firstLine="720"/>
      </w:pPr>
      <w:r>
        <w:t xml:space="preserve">$2,147 in </w:t>
      </w:r>
      <w:proofErr w:type="gramStart"/>
      <w:r>
        <w:t>interest;</w:t>
      </w:r>
      <w:proofErr w:type="gramEnd"/>
    </w:p>
    <w:p w14:paraId="075C1042" w14:textId="040A1645" w:rsidR="00EC2AB5" w:rsidRDefault="00EC2AB5" w:rsidP="00E84388">
      <w:pPr>
        <w:pStyle w:val="ListParagraph"/>
        <w:numPr>
          <w:ilvl w:val="0"/>
          <w:numId w:val="2"/>
        </w:numPr>
        <w:autoSpaceDE w:val="0"/>
        <w:autoSpaceDN w:val="0"/>
        <w:adjustRightInd w:val="0"/>
      </w:pPr>
      <w:r>
        <w:t>E</w:t>
      </w:r>
      <w:r w:rsidR="005F3746">
        <w:t>valuation, measurement and verification (E</w:t>
      </w:r>
      <w:r>
        <w:t>M&amp;V</w:t>
      </w:r>
      <w:r w:rsidR="005F3746">
        <w:t>)</w:t>
      </w:r>
      <w:r>
        <w:t xml:space="preserve"> </w:t>
      </w:r>
      <w:r w:rsidR="00D95866">
        <w:t xml:space="preserve">contractor </w:t>
      </w:r>
      <w:r>
        <w:t xml:space="preserve">costs of </w:t>
      </w:r>
      <w:proofErr w:type="gramStart"/>
      <w:r>
        <w:t>$63,713;</w:t>
      </w:r>
      <w:proofErr w:type="gramEnd"/>
    </w:p>
    <w:p w14:paraId="71E855EB" w14:textId="14E31AE5" w:rsidR="00EC2AB5" w:rsidRDefault="00EC2AB5" w:rsidP="00E84388">
      <w:pPr>
        <w:pStyle w:val="ListParagraph"/>
        <w:numPr>
          <w:ilvl w:val="0"/>
          <w:numId w:val="2"/>
        </w:numPr>
        <w:autoSpaceDE w:val="0"/>
        <w:autoSpaceDN w:val="0"/>
        <w:adjustRightInd w:val="0"/>
      </w:pPr>
      <w:r>
        <w:t>recovery of $2,066,789 representing SWEPCO’s performance bonus for achieving</w:t>
      </w:r>
    </w:p>
    <w:p w14:paraId="7934FD12" w14:textId="59816B21" w:rsidR="00EC2AB5" w:rsidRDefault="00EC2AB5" w:rsidP="00E84388">
      <w:pPr>
        <w:autoSpaceDE w:val="0"/>
        <w:autoSpaceDN w:val="0"/>
        <w:adjustRightInd w:val="0"/>
        <w:ind w:firstLine="720"/>
      </w:pPr>
      <w:r>
        <w:t>demand and energy savings that exceeded the goal</w:t>
      </w:r>
      <w:r w:rsidR="00D95866">
        <w:t>s</w:t>
      </w:r>
      <w:r>
        <w:t xml:space="preserve"> to be achieved in </w:t>
      </w:r>
      <w:r w:rsidR="00912273">
        <w:t>202</w:t>
      </w:r>
      <w:r w:rsidR="005F3746">
        <w:t>0</w:t>
      </w:r>
      <w:r>
        <w:t>; and</w:t>
      </w:r>
    </w:p>
    <w:p w14:paraId="00DDA08A" w14:textId="54F7C487" w:rsidR="00EC2AB5" w:rsidRDefault="00EC2AB5" w:rsidP="00E84388">
      <w:pPr>
        <w:pStyle w:val="ListParagraph"/>
        <w:numPr>
          <w:ilvl w:val="0"/>
          <w:numId w:val="3"/>
        </w:numPr>
        <w:autoSpaceDE w:val="0"/>
        <w:autoSpaceDN w:val="0"/>
        <w:adjustRightInd w:val="0"/>
      </w:pPr>
      <w:r>
        <w:t xml:space="preserve">recovery of $11,850 representing SWEPCO’s </w:t>
      </w:r>
      <w:r w:rsidR="00912273">
        <w:t>202</w:t>
      </w:r>
      <w:r w:rsidR="005F3746">
        <w:t>0 EECRF</w:t>
      </w:r>
      <w:r>
        <w:t xml:space="preserve"> proceeding expenses incurred</w:t>
      </w:r>
      <w:r w:rsidR="005F3746">
        <w:t xml:space="preserve"> in Docket No. 50805.</w:t>
      </w:r>
    </w:p>
    <w:p w14:paraId="5530AF04" w14:textId="47B70039" w:rsidR="00912273" w:rsidRDefault="00912273" w:rsidP="00E84388">
      <w:pPr>
        <w:autoSpaceDE w:val="0"/>
        <w:autoSpaceDN w:val="0"/>
        <w:adjustRightInd w:val="0"/>
        <w:ind w:firstLine="720"/>
      </w:pPr>
    </w:p>
    <w:p w14:paraId="52906764" w14:textId="6BE2F6DA" w:rsidR="00912273" w:rsidRDefault="00912273" w:rsidP="00E84388">
      <w:pPr>
        <w:autoSpaceDE w:val="0"/>
        <w:autoSpaceDN w:val="0"/>
        <w:adjustRightInd w:val="0"/>
      </w:pPr>
      <w:r>
        <w:t>My review included an examination of the reasonableness of SWEPCO's forecasted</w:t>
      </w:r>
      <w:r w:rsidR="00E84388">
        <w:t xml:space="preserve"> </w:t>
      </w:r>
      <w:r>
        <w:t>202</w:t>
      </w:r>
      <w:r w:rsidR="00C73519">
        <w:t>2</w:t>
      </w:r>
      <w:r>
        <w:t xml:space="preserve"> energy efficiency expenses; verification that SWEPCO's demand and energy</w:t>
      </w:r>
      <w:r w:rsidR="00941C36">
        <w:t xml:space="preserve"> </w:t>
      </w:r>
      <w:r>
        <w:t xml:space="preserve">goals were calculated </w:t>
      </w:r>
      <w:r w:rsidR="00D95866">
        <w:t>under</w:t>
      </w:r>
      <w:r>
        <w:t xml:space="preserve"> 16 TAC § 25.181(e) and that SWEPCO's proposed</w:t>
      </w:r>
      <w:r w:rsidR="00941C36">
        <w:t xml:space="preserve"> </w:t>
      </w:r>
      <w:r>
        <w:t>line loss is reasonable; review of SWEPCO's performance bonus for the 20</w:t>
      </w:r>
      <w:r w:rsidR="00C73519">
        <w:t>20</w:t>
      </w:r>
      <w:r>
        <w:t xml:space="preserve"> program</w:t>
      </w:r>
      <w:r w:rsidR="00941C36">
        <w:t xml:space="preserve"> </w:t>
      </w:r>
      <w:r>
        <w:t>year to verify compliance with 16 TAC § 25.182(e); and a review of SWEPCO's</w:t>
      </w:r>
      <w:r w:rsidR="00941C36">
        <w:t xml:space="preserve"> </w:t>
      </w:r>
      <w:r>
        <w:t>energy efficiency expenses in 20</w:t>
      </w:r>
      <w:r w:rsidR="00C73519">
        <w:t>20</w:t>
      </w:r>
      <w:r>
        <w:t xml:space="preserve"> to verify that they were reasonable and necessary</w:t>
      </w:r>
      <w:r w:rsidR="00941C36">
        <w:t xml:space="preserve"> </w:t>
      </w:r>
      <w:r>
        <w:t>to reduce demand and energy growth.</w:t>
      </w:r>
    </w:p>
    <w:p w14:paraId="6530BB82" w14:textId="19965A66" w:rsidR="00912273" w:rsidRDefault="00912273" w:rsidP="00E84388">
      <w:pPr>
        <w:autoSpaceDE w:val="0"/>
        <w:autoSpaceDN w:val="0"/>
        <w:adjustRightInd w:val="0"/>
      </w:pPr>
    </w:p>
    <w:p w14:paraId="3816AB4F" w14:textId="2BEF8F8C" w:rsidR="00912273" w:rsidRDefault="00912273" w:rsidP="00E84388">
      <w:r>
        <w:t>Based upon my review of SWEPCO's Application, accompanying work papers, and</w:t>
      </w:r>
      <w:r w:rsidR="00941C36">
        <w:t xml:space="preserve"> </w:t>
      </w:r>
      <w:r>
        <w:t>responses to requests for information, I have determined that SWEPCO's total</w:t>
      </w:r>
      <w:r w:rsidR="00941C36">
        <w:t xml:space="preserve"> </w:t>
      </w:r>
      <w:r>
        <w:t>requested energy efficiency expenses for the 202</w:t>
      </w:r>
      <w:r w:rsidR="00C73519">
        <w:t>2</w:t>
      </w:r>
      <w:r>
        <w:t xml:space="preserve"> program year are</w:t>
      </w:r>
      <w:r w:rsidR="00941C36">
        <w:t xml:space="preserve"> </w:t>
      </w:r>
      <w:r>
        <w:t xml:space="preserve">reasonable. </w:t>
      </w:r>
      <w:r w:rsidR="00C73519">
        <w:rPr>
          <w:rFonts w:ascii="TimesNewRomanPSMT" w:hAnsi="TimesNewRomanPSMT" w:cs="TimesNewRomanPSMT"/>
          <w:szCs w:val="24"/>
        </w:rPr>
        <w:t xml:space="preserve">To maintain current levels of </w:t>
      </w:r>
      <w:r w:rsidR="00C73519">
        <w:rPr>
          <w:rFonts w:ascii="TimesNewRomanPSMT" w:hAnsi="TimesNewRomanPSMT" w:cs="TimesNewRomanPSMT"/>
          <w:szCs w:val="24"/>
        </w:rPr>
        <w:lastRenderedPageBreak/>
        <w:t>energy efficiency programs</w:t>
      </w:r>
      <w:r w:rsidR="0048697E">
        <w:rPr>
          <w:rFonts w:ascii="TimesNewRomanPSMT" w:hAnsi="TimesNewRomanPSMT" w:cs="TimesNewRomanPSMT"/>
          <w:szCs w:val="24"/>
        </w:rPr>
        <w:t xml:space="preserve"> and customer benefits</w:t>
      </w:r>
      <w:r w:rsidR="00C73519">
        <w:rPr>
          <w:rFonts w:ascii="TimesNewRomanPSMT" w:hAnsi="TimesNewRomanPSMT" w:cs="TimesNewRomanPSMT"/>
          <w:szCs w:val="24"/>
        </w:rPr>
        <w:t xml:space="preserve"> in 2022, </w:t>
      </w:r>
      <w:r w:rsidRPr="00912273">
        <w:t>SWEPCO request</w:t>
      </w:r>
      <w:r w:rsidR="00C73519">
        <w:t xml:space="preserve">ed </w:t>
      </w:r>
      <w:r w:rsidRPr="00912273">
        <w:t xml:space="preserve">that the Commission grant a good cause exception under 16 TAC §§ 25.181(e)(2) and 25.182(d)(7). </w:t>
      </w:r>
      <w:r w:rsidR="0048697E">
        <w:rPr>
          <w:bCs/>
          <w:color w:val="000000" w:themeColor="text1"/>
          <w:szCs w:val="24"/>
        </w:rPr>
        <w:t xml:space="preserve">Under </w:t>
      </w:r>
      <w:r w:rsidR="0048697E" w:rsidRPr="0031143C">
        <w:rPr>
          <w:bCs/>
          <w:color w:val="000000" w:themeColor="text1"/>
          <w:szCs w:val="24"/>
        </w:rPr>
        <w:t>§</w:t>
      </w:r>
      <w:r w:rsidR="0048697E">
        <w:rPr>
          <w:bCs/>
          <w:color w:val="000000" w:themeColor="text1"/>
          <w:szCs w:val="24"/>
        </w:rPr>
        <w:t xml:space="preserve"> 25.182(e)(4), the Commission may reduce the bonus otherwise permitted for a utility with an EECRF cost cap higher than the cost cap established by </w:t>
      </w:r>
      <w:r w:rsidR="0048697E" w:rsidRPr="0031143C">
        <w:rPr>
          <w:bCs/>
          <w:color w:val="000000" w:themeColor="text1"/>
          <w:szCs w:val="24"/>
        </w:rPr>
        <w:t>§§</w:t>
      </w:r>
      <w:r w:rsidR="0048697E">
        <w:rPr>
          <w:bCs/>
          <w:color w:val="000000" w:themeColor="text1"/>
          <w:szCs w:val="24"/>
        </w:rPr>
        <w:t> </w:t>
      </w:r>
      <w:r w:rsidR="0048697E" w:rsidRPr="0031143C">
        <w:rPr>
          <w:bCs/>
          <w:color w:val="000000" w:themeColor="text1"/>
          <w:szCs w:val="24"/>
        </w:rPr>
        <w:t>25.181(e)(2)</w:t>
      </w:r>
      <w:r w:rsidR="0048697E">
        <w:rPr>
          <w:bCs/>
          <w:color w:val="000000" w:themeColor="text1"/>
          <w:szCs w:val="24"/>
        </w:rPr>
        <w:t xml:space="preserve">.  Any adjustment would not be made until </w:t>
      </w:r>
      <w:r w:rsidR="00941C36">
        <w:rPr>
          <w:bCs/>
          <w:color w:val="000000" w:themeColor="text1"/>
          <w:szCs w:val="24"/>
        </w:rPr>
        <w:t xml:space="preserve">the </w:t>
      </w:r>
      <w:r w:rsidR="0048697E">
        <w:rPr>
          <w:bCs/>
          <w:color w:val="000000" w:themeColor="text1"/>
          <w:szCs w:val="24"/>
        </w:rPr>
        <w:t xml:space="preserve">performance bonus for program year 2022 is requested.  </w:t>
      </w:r>
      <w:r w:rsidR="0048697E" w:rsidRPr="00084FDF">
        <w:rPr>
          <w:rFonts w:ascii="TimesNewRomanPSMT" w:hAnsi="TimesNewRomanPSMT" w:cs="TimesNewRomanPSMT"/>
          <w:szCs w:val="24"/>
        </w:rPr>
        <w:t>SWEPCO's proposed administrative costs are reasonable and fall below the caps set in 16 TAC § 25.181(g); SWEPCO's demand goal complies with 16 TAC §</w:t>
      </w:r>
      <w:r w:rsidR="0048697E">
        <w:rPr>
          <w:rFonts w:ascii="TimesNewRomanPSMT" w:hAnsi="TimesNewRomanPSMT" w:cs="TimesNewRomanPSMT"/>
          <w:szCs w:val="24"/>
        </w:rPr>
        <w:t> </w:t>
      </w:r>
      <w:r w:rsidR="0048697E" w:rsidRPr="00084FDF">
        <w:rPr>
          <w:rFonts w:ascii="TimesNewRomanPSMT" w:hAnsi="TimesNewRomanPSMT" w:cs="TimesNewRomanPSMT"/>
          <w:szCs w:val="24"/>
        </w:rPr>
        <w:t>25.181(e), and the proposed line loss is reasonable</w:t>
      </w:r>
      <w:r w:rsidR="00941C36">
        <w:rPr>
          <w:rFonts w:ascii="TimesNewRomanPSMT" w:hAnsi="TimesNewRomanPSMT" w:cs="TimesNewRomanPSMT"/>
          <w:szCs w:val="24"/>
        </w:rPr>
        <w:t xml:space="preserve">; </w:t>
      </w:r>
      <w:r>
        <w:t>SWEPCO's 202</w:t>
      </w:r>
      <w:r w:rsidR="00941C36">
        <w:t>2</w:t>
      </w:r>
      <w:r>
        <w:t xml:space="preserve"> programs are designed to support a 5% allocation of the total program budget to the hard-to-reach</w:t>
      </w:r>
      <w:r w:rsidR="00511B9D">
        <w:t xml:space="preserve"> </w:t>
      </w:r>
      <w:r>
        <w:t xml:space="preserve">customers </w:t>
      </w:r>
      <w:r w:rsidR="00941C36">
        <w:t>under</w:t>
      </w:r>
      <w:r>
        <w:t xml:space="preserve"> 16 TAC § 25.181(e)(3)(F); SWEPCO's requested performance</w:t>
      </w:r>
      <w:r w:rsidR="00941C36">
        <w:t xml:space="preserve"> </w:t>
      </w:r>
      <w:r>
        <w:t>bonus for program year 20</w:t>
      </w:r>
      <w:r w:rsidR="00941C36">
        <w:t>20</w:t>
      </w:r>
      <w:r>
        <w:t xml:space="preserve"> was calculated in accordance with 16 TAC § 25.182(e);</w:t>
      </w:r>
      <w:r w:rsidR="00941C36">
        <w:t xml:space="preserve"> </w:t>
      </w:r>
      <w:r>
        <w:t>and SWEPCO's 20</w:t>
      </w:r>
      <w:r w:rsidR="00941C36">
        <w:t>20</w:t>
      </w:r>
      <w:r>
        <w:t xml:space="preserve"> program costs were reasonable and necessary to achieve</w:t>
      </w:r>
      <w:r w:rsidR="00941C36">
        <w:t xml:space="preserve"> </w:t>
      </w:r>
      <w:r>
        <w:t xml:space="preserve">demand and energy savings. </w:t>
      </w:r>
      <w:r>
        <w:cr/>
      </w:r>
    </w:p>
    <w:p w14:paraId="4D9FD7AF" w14:textId="64B5631F" w:rsidR="00941C36" w:rsidRPr="0031143C" w:rsidRDefault="00941C36" w:rsidP="00941C36">
      <w:pPr>
        <w:autoSpaceDE w:val="0"/>
        <w:autoSpaceDN w:val="0"/>
        <w:adjustRightInd w:val="0"/>
        <w:rPr>
          <w:rFonts w:ascii="TimesNewRomanPSMT" w:hAnsi="TimesNewRomanPSMT" w:cs="TimesNewRomanPSMT"/>
          <w:szCs w:val="24"/>
        </w:rPr>
      </w:pPr>
      <w:r w:rsidRPr="00084FDF">
        <w:rPr>
          <w:rFonts w:ascii="TimesNewRomanPSMT" w:hAnsi="TimesNewRomanPSMT" w:cs="TimesNewRomanPSMT"/>
          <w:szCs w:val="24"/>
        </w:rPr>
        <w:t xml:space="preserve">Based upon my review of the SWEPCO's Application as described above, I </w:t>
      </w:r>
      <w:r w:rsidR="007A792F">
        <w:rPr>
          <w:rFonts w:ascii="TimesNewRomanPSMT" w:hAnsi="TimesNewRomanPSMT" w:cs="TimesNewRomanPSMT"/>
          <w:szCs w:val="24"/>
        </w:rPr>
        <w:t>recommend</w:t>
      </w:r>
      <w:r w:rsidR="00E84388" w:rsidRPr="00084FDF">
        <w:rPr>
          <w:rFonts w:ascii="TimesNewRomanPSMT" w:hAnsi="TimesNewRomanPSMT" w:cs="TimesNewRomanPSMT"/>
          <w:szCs w:val="24"/>
        </w:rPr>
        <w:t xml:space="preserve"> </w:t>
      </w:r>
      <w:r w:rsidRPr="00084FDF">
        <w:rPr>
          <w:rFonts w:ascii="TimesNewRomanPSMT" w:hAnsi="TimesNewRomanPSMT" w:cs="TimesNewRomanPSMT"/>
          <w:szCs w:val="24"/>
        </w:rPr>
        <w:t xml:space="preserve">that </w:t>
      </w:r>
      <w:r>
        <w:rPr>
          <w:rFonts w:ascii="TimesNewRomanPSMT" w:hAnsi="TimesNewRomanPSMT" w:cs="TimesNewRomanPSMT"/>
          <w:szCs w:val="24"/>
        </w:rPr>
        <w:t xml:space="preserve">SWEPCO’s request </w:t>
      </w:r>
      <w:r w:rsidRPr="00084FDF">
        <w:rPr>
          <w:rFonts w:ascii="TimesNewRomanPSMT" w:hAnsi="TimesNewRomanPSMT" w:cs="TimesNewRomanPSMT"/>
          <w:szCs w:val="24"/>
        </w:rPr>
        <w:t>is reasonable and meets the requirements of 16 TAC §§ 25.181 and 25.182.</w:t>
      </w:r>
    </w:p>
    <w:p w14:paraId="0B54554D" w14:textId="77777777" w:rsidR="00EC2AB5" w:rsidRDefault="00EC2AB5" w:rsidP="00E84388">
      <w:pPr>
        <w:autoSpaceDE w:val="0"/>
        <w:autoSpaceDN w:val="0"/>
        <w:adjustRightInd w:val="0"/>
        <w:rPr>
          <w:bCs/>
          <w:color w:val="000000" w:themeColor="text1"/>
          <w:szCs w:val="24"/>
        </w:rPr>
      </w:pPr>
    </w:p>
    <w:p w14:paraId="102CB4CC" w14:textId="77777777" w:rsidR="00912273" w:rsidRPr="0031143C" w:rsidRDefault="00912273" w:rsidP="00E84388">
      <w:pPr>
        <w:autoSpaceDE w:val="0"/>
        <w:autoSpaceDN w:val="0"/>
        <w:adjustRightInd w:val="0"/>
        <w:rPr>
          <w:rFonts w:ascii="TimesNewRomanPSMT" w:hAnsi="TimesNewRomanPSMT" w:cs="TimesNewRomanPSMT"/>
          <w:szCs w:val="24"/>
        </w:rPr>
      </w:pPr>
    </w:p>
    <w:sectPr w:rsidR="00912273" w:rsidRPr="0031143C"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87BDF" w14:textId="77777777" w:rsidR="008334A4" w:rsidRDefault="008334A4">
      <w:r>
        <w:separator/>
      </w:r>
    </w:p>
  </w:endnote>
  <w:endnote w:type="continuationSeparator" w:id="0">
    <w:p w14:paraId="5700ABF5" w14:textId="77777777" w:rsidR="008334A4" w:rsidRDefault="00833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BC071" w14:textId="77777777" w:rsidR="008334A4" w:rsidRDefault="008334A4">
      <w:r>
        <w:separator/>
      </w:r>
    </w:p>
  </w:footnote>
  <w:footnote w:type="continuationSeparator" w:id="0">
    <w:p w14:paraId="650AD679" w14:textId="77777777" w:rsidR="008334A4" w:rsidRDefault="00833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7DA03" w14:textId="77777777" w:rsidR="00DA36E8" w:rsidRDefault="00DA36E8">
    <w:pPr>
      <w:pStyle w:val="Header"/>
      <w:jc w:val="center"/>
      <w:rPr>
        <w:b/>
        <w:i/>
        <w:sz w:val="38"/>
      </w:rPr>
    </w:pPr>
    <w:r>
      <w:rPr>
        <w:b/>
        <w:i/>
        <w:sz w:val="38"/>
      </w:rPr>
      <w:t>Public Utility Commission of Texas</w:t>
    </w:r>
  </w:p>
  <w:p w14:paraId="657382E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B719B4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410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163956"/>
    <w:multiLevelType w:val="hybridMultilevel"/>
    <w:tmpl w:val="4C584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9075A6"/>
    <w:multiLevelType w:val="hybridMultilevel"/>
    <w:tmpl w:val="CF14D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381B15"/>
    <w:multiLevelType w:val="hybridMultilevel"/>
    <w:tmpl w:val="4E9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7AC"/>
    <w:rsid w:val="000D4AC5"/>
    <w:rsid w:val="00116570"/>
    <w:rsid w:val="001360C0"/>
    <w:rsid w:val="00195B4B"/>
    <w:rsid w:val="0025297B"/>
    <w:rsid w:val="0028111B"/>
    <w:rsid w:val="0031143C"/>
    <w:rsid w:val="004249AC"/>
    <w:rsid w:val="0048697E"/>
    <w:rsid w:val="00511B9D"/>
    <w:rsid w:val="005B636A"/>
    <w:rsid w:val="005E2981"/>
    <w:rsid w:val="005F3746"/>
    <w:rsid w:val="00635F1F"/>
    <w:rsid w:val="006F41F3"/>
    <w:rsid w:val="007A792F"/>
    <w:rsid w:val="007E4EE0"/>
    <w:rsid w:val="008262FF"/>
    <w:rsid w:val="008334A4"/>
    <w:rsid w:val="0084029E"/>
    <w:rsid w:val="00847833"/>
    <w:rsid w:val="008C469B"/>
    <w:rsid w:val="0091083F"/>
    <w:rsid w:val="00912273"/>
    <w:rsid w:val="009366EA"/>
    <w:rsid w:val="00941C36"/>
    <w:rsid w:val="009A4F4B"/>
    <w:rsid w:val="00A7691E"/>
    <w:rsid w:val="00AD1079"/>
    <w:rsid w:val="00AF07FE"/>
    <w:rsid w:val="00B527AC"/>
    <w:rsid w:val="00B56DD2"/>
    <w:rsid w:val="00B64061"/>
    <w:rsid w:val="00B81E04"/>
    <w:rsid w:val="00C013EE"/>
    <w:rsid w:val="00C73519"/>
    <w:rsid w:val="00D2675D"/>
    <w:rsid w:val="00D95866"/>
    <w:rsid w:val="00DA1DBF"/>
    <w:rsid w:val="00DA36E8"/>
    <w:rsid w:val="00E525E6"/>
    <w:rsid w:val="00E84388"/>
    <w:rsid w:val="00EA5690"/>
    <w:rsid w:val="00EC2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AD2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semiHidden/>
    <w:unhideWhenUsed/>
    <w:rsid w:val="00DA1DBF"/>
    <w:rPr>
      <w:sz w:val="16"/>
      <w:szCs w:val="16"/>
    </w:rPr>
  </w:style>
  <w:style w:type="paragraph" w:styleId="CommentText">
    <w:name w:val="annotation text"/>
    <w:basedOn w:val="Normal"/>
    <w:link w:val="CommentTextChar"/>
    <w:uiPriority w:val="99"/>
    <w:unhideWhenUsed/>
    <w:rsid w:val="00DA1DBF"/>
    <w:rPr>
      <w:sz w:val="20"/>
    </w:rPr>
  </w:style>
  <w:style w:type="character" w:customStyle="1" w:styleId="CommentTextChar">
    <w:name w:val="Comment Text Char"/>
    <w:basedOn w:val="DefaultParagraphFont"/>
    <w:link w:val="CommentText"/>
    <w:uiPriority w:val="99"/>
    <w:rsid w:val="00DA1DBF"/>
  </w:style>
  <w:style w:type="paragraph" w:styleId="CommentSubject">
    <w:name w:val="annotation subject"/>
    <w:basedOn w:val="CommentText"/>
    <w:next w:val="CommentText"/>
    <w:link w:val="CommentSubjectChar"/>
    <w:uiPriority w:val="99"/>
    <w:semiHidden/>
    <w:unhideWhenUsed/>
    <w:rsid w:val="00DA1DBF"/>
    <w:rPr>
      <w:b/>
      <w:bCs/>
    </w:rPr>
  </w:style>
  <w:style w:type="character" w:customStyle="1" w:styleId="CommentSubjectChar">
    <w:name w:val="Comment Subject Char"/>
    <w:basedOn w:val="CommentTextChar"/>
    <w:link w:val="CommentSubject"/>
    <w:uiPriority w:val="99"/>
    <w:semiHidden/>
    <w:rsid w:val="00DA1DBF"/>
    <w:rPr>
      <w:b/>
      <w:bCs/>
    </w:rPr>
  </w:style>
  <w:style w:type="paragraph" w:styleId="ListParagraph">
    <w:name w:val="List Paragraph"/>
    <w:basedOn w:val="Normal"/>
    <w:uiPriority w:val="34"/>
    <w:qFormat/>
    <w:rsid w:val="00EC2A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0FFE0-FB6D-4AFE-BC75-9C39B1D9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2775</Characters>
  <Application>Microsoft Office Word</Application>
  <DocSecurity>0</DocSecurity>
  <Lines>23</Lines>
  <Paragraphs>6</Paragraphs>
  <ScaleCrop>false</ScaleCrop>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2021-07-01T14:06:00Z</dcterms:created>
  <dcterms:modified xsi:type="dcterms:W3CDTF">2021-07-01T14:06:00Z</dcterms:modified>
</cp:coreProperties>
</file>